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w:t>
      </w:r>
      <w:r>
        <w:t xml:space="preserve"> </w:t>
      </w:r>
      <w:r>
        <w:t xml:space="preserve">“</w:t>
      </w:r>
      <w:r>
        <w:t xml:space="preserve">significance</w:t>
      </w:r>
      <w:r>
        <w:t xml:space="preserve">”</w:t>
      </w:r>
      <w:r>
        <w:t xml:space="preserve"> </w:t>
      </w:r>
      <w:r>
        <w:t xml:space="preserve">should be computed or reported. This lack of a consensual index or guidelines, such as the frequentist</w:t>
      </w:r>
      <w:r>
        <w:t xml:space="preserve"> </w:t>
      </w:r>
      <w:r>
        <w:rPr>
          <w:i/>
        </w:rPr>
        <w:t xml:space="preserve">p</w:t>
      </w:r>
      <w:r>
        <w:t xml:space="preserve">-value, further contributes to the unnecessary opacity that many non-familiar readers perceive in Bayesian statistics. Thus, this study describes and compares several Bayesian indices, provide intuitive visual representation of their</w:t>
      </w:r>
      <w:r>
        <w:t xml:space="preserve"> </w:t>
      </w:r>
      <w:r>
        <w:t xml:space="preserve">“</w:t>
      </w:r>
      <w:r>
        <w:t xml:space="preserve">behavior</w:t>
      </w:r>
      <w:r>
        <w:t xml:space="preserve">”</w:t>
      </w:r>
      <w:r>
        <w:t xml:space="preserve"> </w:t>
      </w:r>
      <w:r>
        <w:t xml:space="preserve">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but even when used properly, effects are drastically overestimated, sometimes even in the wrong direction, when researchers condition estimation on statistical significance in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2016;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2016; Kirk, 1996)</w:t>
      </w:r>
      <w:r>
        <w:t xml:space="preserve">. This is particularly problematic given that</w:t>
      </w:r>
      <w:r>
        <w:t xml:space="preserve"> </w:t>
      </w:r>
      <w:r>
        <w:rPr>
          <w:i/>
        </w:rPr>
        <w:t xml:space="preserve">p</w:t>
      </w:r>
      <w:r>
        <w:t xml:space="preserve">-values can only be used to reject the null hypothesis, not to accept it as true</w:t>
      </w:r>
      <w:r>
        <w:t xml:space="preserve"> </w:t>
      </w:r>
      <w:r>
        <w:t xml:space="preserve">(Wagenmakers, 2007)</w:t>
      </w:r>
      <w:r>
        <w:t xml:space="preserve">.</w:t>
      </w:r>
      <w:r>
        <w:t xml:space="preserve"> </w:t>
      </w:r>
      <w:r>
        <w:t xml:space="preserve">“</w:t>
      </w:r>
      <w:r>
        <w:t xml:space="preserve">For several generations, researchers have been warned that a statistically non-significant result does not</w:t>
      </w:r>
      <w:r>
        <w:t xml:space="preserve"> </w:t>
      </w:r>
      <w:r>
        <w:t xml:space="preserve">‘</w:t>
      </w:r>
      <w:r>
        <w:t xml:space="preserve">prove</w:t>
      </w:r>
      <w:r>
        <w:t xml:space="preserve">’</w:t>
      </w:r>
      <w:r>
        <w:t xml:space="preserve"> </w:t>
      </w:r>
      <w:r>
        <w:t xml:space="preserve">the null hypothesis (the hypothesis that there is no difference between groups or no effect of a treatment on some measured outcome)</w:t>
      </w:r>
      <w:r>
        <w:t xml:space="preserve">”</w:t>
      </w:r>
      <w:r>
        <w:t xml:space="preserve"> </w:t>
      </w:r>
      <w:r>
        <w:t xml:space="preserve">(Amrhein, Greenland, &amp; McShane, 2019, p. 305)</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w:t>
      </w:r>
      <w:r>
        <w:t xml:space="preserve"> </w:t>
      </w:r>
      <w:r>
        <w:rPr>
          <w:i/>
        </w:rPr>
        <w:t xml:space="preserve">p</w:t>
      </w:r>
      <w:r>
        <w:t xml:space="preserve">-value,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several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w:t>
      </w:r>
      <w:r>
        <w:t xml:space="preserve"> </w:t>
      </w:r>
      <w:r>
        <w:t xml:space="preserve">“</w:t>
      </w:r>
      <w:r>
        <w:t xml:space="preserve">true effect</w:t>
      </w:r>
      <w:r>
        <w:t xml:space="preserve">”</w:t>
      </w:r>
      <w:r>
        <w:t xml:space="preserve"> </w:t>
      </w:r>
      <w:r>
        <w:t xml:space="preserve">(for instance, the</w:t>
      </w:r>
      <w:r>
        <w:t xml:space="preserve"> </w:t>
      </w:r>
      <w:r>
        <w:t xml:space="preserve">“</w:t>
      </w:r>
      <w:r>
        <w:t xml:space="preserve">true</w:t>
      </w:r>
      <w:r>
        <w:t xml:space="preserve">”</w:t>
      </w:r>
      <w:r>
        <w:t xml:space="preserve"> </w:t>
      </w:r>
      <w:r>
        <w:t xml:space="preserve">correlation between</w:t>
      </w:r>
      <w:r>
        <w:t xml:space="preserve"> </w:t>
      </w:r>
      <w:r>
        <w:rPr>
          <w:i/>
        </w:rPr>
        <w:t xml:space="preserve">x</w:t>
      </w:r>
      <w:r>
        <w:t xml:space="preserve"> </w:t>
      </w:r>
      <w:r>
        <w:t xml:space="preserve">and</w:t>
      </w:r>
      <w:r>
        <w:t xml:space="preserve"> </w:t>
      </w:r>
      <w:r>
        <w:rPr>
          <w:i/>
        </w:rPr>
        <w:t xml:space="preserve">y</w:t>
      </w:r>
      <w:r>
        <w:t xml:space="preserve">), Bayesian methods compute the probability of different effects values</w:t>
      </w:r>
      <w:r>
        <w:t xml:space="preserve"> </w:t>
      </w:r>
      <w:r>
        <w:rPr>
          <w:i/>
        </w:rPr>
        <w:t xml:space="preserve">given</w:t>
      </w:r>
      <w:r>
        <w:t xml:space="preserve"> </w:t>
      </w:r>
      <w:r>
        <w:t xml:space="preserve">the observed data (and some pior expectation), resulting in a distribution of possible values for the parameters, called the posterior distribution. The description of the posterior distribution (e.g., through its centrality, dispersion, etc.) allows to draw conclusions from Bayesian analyses.</w:t>
      </w:r>
    </w:p>
    <w:p>
      <w:pPr>
        <w:pStyle w:val="BodyText"/>
      </w:pPr>
      <w:r>
        <w:t xml:space="preserve">Bayesian</w:t>
      </w:r>
      <w:r>
        <w:t xml:space="preserve"> </w:t>
      </w:r>
      <w:r>
        <w:t xml:space="preserve">“</w:t>
      </w:r>
      <w:r>
        <w:t xml:space="preserve">significance</w:t>
      </w:r>
      <w:r>
        <w:t xml:space="preserve">”</w:t>
      </w:r>
      <w:r>
        <w:t xml:space="preserve"> </w:t>
      </w:r>
      <w:r>
        <w:t xml:space="preserve">testing indices could be roughly grouped into three overlapping categories: Bayes factors, posterior indices and ROPE-based indices. Bayes factors are a family of indices of relative evidence of one model over another</w:t>
      </w:r>
      <w:r>
        <w:t xml:space="preserve"> </w:t>
      </w:r>
      <w:r>
        <w:t xml:space="preserve">(e.g., the null</w:t>
      </w:r>
      <w:r>
        <w:t xml:space="preserve"> </w:t>
      </w:r>
      <w:r>
        <w:rPr>
          <w:i/>
        </w:rPr>
        <w:t xml:space="preserve">vs.</w:t>
      </w:r>
      <w:r>
        <w:t xml:space="preserve"> </w:t>
      </w:r>
      <w:r>
        <w:t xml:space="preserve">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However, its use for parameters description in complex models is still a matter of debate</w:t>
      </w:r>
      <w:r>
        <w:t xml:space="preserve"> </w:t>
      </w:r>
      <w:r>
        <w:t xml:space="preserve">(Heck, 2019; Wagenmakers, Lodewyckx, Kuriyal, &amp; Grasman, 2010)</w:t>
      </w:r>
      <w:r>
        <w:t xml:space="preserve">, being highly dependent on the specification of priors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w:t>
      </w:r>
      <w:r>
        <w:t xml:space="preserve"> </w:t>
      </w:r>
      <w:r>
        <w:t xml:space="preserve">(the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perfectly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w:t>
      </w:r>
      <w:r>
        <w:t xml:space="preserve"> </w:t>
      </w:r>
      <w:r>
        <w:t xml:space="preserve">“</w:t>
      </w:r>
      <w:r>
        <w:t xml:space="preserve">true</w:t>
      </w:r>
      <w:r>
        <w:t xml:space="preserve">”</w:t>
      </w:r>
      <w:r>
        <w:t xml:space="preserve"> </w:t>
      </w:r>
      <w:r>
        <w:t xml:space="preserve">effect, or 0 - absence of</w:t>
      </w:r>
      <w:r>
        <w:t xml:space="preserve"> </w:t>
      </w:r>
      <w:r>
        <w:t xml:space="preserve">“</w:t>
      </w:r>
      <w:r>
        <w:t xml:space="preserve">true</w:t>
      </w:r>
      <w:r>
        <w:t xml:space="preserve">”</w:t>
      </w:r>
      <w:r>
        <w:t xml:space="preserve"> </w:t>
      </w:r>
      <w:r>
        <w:t xml:space="preserve">effect) and</w:t>
      </w:r>
      <w:r>
        <w:t xml:space="preserve"> </w:t>
      </w:r>
      <w:r>
        <w:rPr>
          <w:i/>
        </w:rPr>
        <w:t xml:space="preserve">noise</w:t>
      </w:r>
      <w:r>
        <w:t xml:space="preserve"> </w:t>
      </w:r>
      <w:r>
        <w:t xml:space="preserve">(Gaussian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24">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related to the effect of</w:t>
      </w:r>
      <w:r>
        <w:t xml:space="preserve"> </w:t>
      </w:r>
      <w:r>
        <w:rPr>
          <w:i/>
        </w:rPr>
        <w:t xml:space="preserve">x</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w:t>
      </w:r>
      <w:r>
        <w:t xml:space="preserve"> </w:t>
      </w:r>
      <w:r>
        <w:rPr>
          <w:i/>
        </w:rPr>
        <w:t xml:space="preserve">Probability of Direction (pd)</w:t>
      </w:r>
      <w:r>
        <w:t xml:space="preserve"> </w:t>
      </w:r>
      <w:r>
        <w:t xml:space="preserve">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
      <w:r>
        <w:t xml:space="preserve">ROPE (95%)</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w:t>
      </w:r>
    </w:p>
    <w:p>
      <w:pPr>
        <w:pStyle w:val="Heading3"/>
      </w:pPr>
      <w:bookmarkStart w:id="30" w:name="rope-full"/>
      <w:r>
        <w:t xml:space="preserve">ROPE (full)</w:t>
      </w:r>
      <w:bookmarkEnd w:id="30"/>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it refers to the percentage of the</w:t>
      </w:r>
      <w:r>
        <w:t xml:space="preserve"> </w:t>
      </w:r>
      <w:r>
        <w:rPr>
          <w:i/>
        </w:rPr>
        <w:t xml:space="preserve">whole</w:t>
      </w:r>
      <w:r>
        <w:t xml:space="preserve"> </w:t>
      </w:r>
      <w:r>
        <w:t xml:space="preserve">posterior distribution that lies within the ROPE.</w:t>
      </w:r>
    </w:p>
    <w:p>
      <w:pPr>
        <w:pStyle w:val="Heading3"/>
      </w:pPr>
      <w:bookmarkStart w:id="31" w:name="bayes-factor-vs.-0"/>
      <w:r>
        <w:t xml:space="preserve">Bayes factor (</w:t>
      </w:r>
      <w:r>
        <w:rPr>
          <w:i/>
        </w:rPr>
        <w:t xml:space="preserve">vs.</w:t>
      </w:r>
      <w:r>
        <w:t xml:space="preserve"> </w:t>
      </w:r>
      <w:r>
        <w:t xml:space="preserve">0)</w:t>
      </w:r>
      <w:bookmarkEnd w:id="31"/>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point-null</w:t>
      </w:r>
      <w:r>
        <w:t xml:space="preserve"> </w:t>
      </w:r>
      <w:r>
        <w:t xml:space="preserve">(Wagenmakers et al., 2010)</w:t>
      </w:r>
      <w:r>
        <w:t xml:space="preserve">.</w:t>
      </w:r>
    </w:p>
    <w:p>
      <w:pPr>
        <w:pStyle w:val="Heading3"/>
      </w:pPr>
      <w:bookmarkStart w:id="32" w:name="bayes-factor-vs.-rope"/>
      <w:r>
        <w:t xml:space="preserve">Bayes factor (</w:t>
      </w:r>
      <w:r>
        <w:rPr>
          <w:i/>
        </w:rPr>
        <w:t xml:space="preserve">vs.</w:t>
      </w:r>
      <w:r>
        <w:t xml:space="preserve"> </w:t>
      </w:r>
      <w:r>
        <w:t xml:space="preserve">ROPE)</w:t>
      </w:r>
      <w:bookmarkEnd w:id="32"/>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except that instead of a point-null, the null hypothesis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Heading2"/>
      </w:pPr>
      <w:bookmarkStart w:id="33" w:name="data-analysis"/>
      <w:r>
        <w:t xml:space="preserve">Data Analysis</w:t>
      </w:r>
      <w:bookmarkEnd w:id="33"/>
    </w:p>
    <w:p>
      <w:pPr>
        <w:pStyle w:val="FirstParagraph"/>
      </w:pPr>
      <w:r>
        <w:t xml:space="preserve">In order to achieve the two-fold aim of this study; 1) comparing Bayesian indices and 2) provide visual guides for an intuitive understanding of the numeric values in relation to a known frame of reference (the frequentist</w:t>
      </w:r>
      <w:r>
        <w:t xml:space="preserve"> </w:t>
      </w:r>
      <w:r>
        <w:rPr>
          <w:i/>
        </w:rPr>
        <w:t xml:space="preserve">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w:t>
      </w:r>
      <w:r>
        <w:t xml:space="preserve"> </w:t>
      </w:r>
      <w:r>
        <w:rPr>
          <w:i/>
        </w:rPr>
        <w:t xml:space="preserve">p</w:t>
      </w:r>
      <w:r>
        <w:t xml:space="preserve">-value and its commonly used thresholds (.05, .01, .001). Finally, we will show the mutual relationship between 3 recommended Bayesian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Bayesian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4960"/>
            <wp:effectExtent b="0" l="0" r="0" t="0"/>
            <wp:docPr descr="Figure 1.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1.png" id="0" name="Picture"/>
                    <pic:cNvPicPr>
                      <a:picLocks noChangeArrowheads="1" noChangeAspect="1"/>
                    </pic:cNvPicPr>
                  </pic:nvPicPr>
                  <pic:blipFill>
                    <a:blip r:embed="rId36"/>
                    <a:stretch>
                      <a:fillRect/>
                    </a:stretch>
                  </pic:blipFill>
                  <pic:spPr bwMode="auto">
                    <a:xfrm>
                      <a:off x="0" y="0"/>
                      <a:ext cx="6197600" cy="8764960"/>
                    </a:xfrm>
                    <a:prstGeom prst="rect">
                      <a:avLst/>
                    </a:prstGeom>
                    <a:noFill/>
                    <a:ln w="9525">
                      <a:noFill/>
                      <a:headEnd/>
                      <a:tailEnd/>
                    </a:ln>
                  </pic:spPr>
                </pic:pic>
              </a:graphicData>
            </a:graphic>
          </wp:inline>
        </w:drawing>
      </w:r>
    </w:p>
    <w:p>
      <w:pPr>
        <w:pStyle w:val="ImageCaption"/>
      </w:pPr>
      <w:r>
        <w:rPr>
          <w:b/>
        </w:rPr>
        <w:t xml:space="preserve">Figure 1</w:t>
      </w:r>
      <w:r>
        <w:t xml:space="preserve">. Impact of Sample Size on the different indices, for linear and logistic models, and when the null hypothesis is true or false. Grey vertical lines for</w:t>
      </w:r>
      <w:r>
        <w:t xml:space="preserve"> </w:t>
      </w:r>
      <w:r>
        <w:rPr>
          <w:i/>
        </w:rPr>
        <w:t xml:space="preserve">p</w:t>
      </w:r>
      <w:r>
        <w:t xml:space="preserve">-values and Bayes factors represent commonly used thresholds.</w:t>
      </w:r>
    </w:p>
    <w:p>
      <w:pPr>
        <w:pStyle w:val="BodyText"/>
      </w:pPr>
      <w:r>
        <w:rPr>
          <w:b/>
        </w:rPr>
        <w:t xml:space="preserve">Figure 1</w:t>
      </w:r>
      <w:r>
        <w:t xml:space="preserve"> </w:t>
      </w:r>
      <w:r>
        <w:t xml:space="preserve">shows the sensitivity to sample size of the indices.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rPr>
          <w:b/>
        </w:rPr>
        <w:t xml:space="preserve">Table 1</w:t>
      </w:r>
      <w:r>
        <w:t xml:space="preserve">.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1</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an effect is present (null hypothesis is false) and absent (null hypothesis is true).</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 null hypothesis is false,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hypothesis is false. In other words,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Note also that</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4960"/>
            <wp:effectExtent b="0" l="0" r="0" t="0"/>
            <wp:docPr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2.png" id="0" name="Picture"/>
                    <pic:cNvPicPr>
                      <a:picLocks noChangeArrowheads="1" noChangeAspect="1"/>
                    </pic:cNvPicPr>
                  </pic:nvPicPr>
                  <pic:blipFill>
                    <a:blip r:embed="rId38"/>
                    <a:stretch>
                      <a:fillRect/>
                    </a:stretch>
                  </pic:blipFill>
                  <pic:spPr bwMode="auto">
                    <a:xfrm>
                      <a:off x="0" y="0"/>
                      <a:ext cx="6197600" cy="8764960"/>
                    </a:xfrm>
                    <a:prstGeom prst="rect">
                      <a:avLst/>
                    </a:prstGeom>
                    <a:noFill/>
                    <a:ln w="9525">
                      <a:noFill/>
                      <a:headEnd/>
                      <a:tailEnd/>
                    </a:ln>
                  </pic:spPr>
                </pic:pic>
              </a:graphicData>
            </a:graphic>
          </wp:inline>
        </w:drawing>
      </w:r>
    </w:p>
    <w:p>
      <w:pPr>
        <w:pStyle w:val="ImageCaption"/>
      </w:pPr>
      <w:r>
        <w:rPr>
          <w:b/>
        </w:rPr>
        <w:t xml:space="preserve">Figure 2</w:t>
      </w:r>
      <w:r>
        <w:t xml:space="preserve">. Impact of Noise. The noise corresponds to the standard deviation of the gaussian noise that was added to the generated data. It is related to the magnitude the parameter (the more noise there is, the smaller the coefficient). Grey vertical lines for</w:t>
      </w:r>
      <w:r>
        <w:t xml:space="preserve"> </w:t>
      </w:r>
      <w:r>
        <w:rPr>
          <w:i/>
        </w:rPr>
        <w:t xml:space="preserve">p</w:t>
      </w:r>
      <w:r>
        <w:t xml:space="preserve">-values and Bayes factors represent commonly used thresholds. The scale is capped for the Bayes factors as these extend to infinity.</w:t>
      </w:r>
    </w:p>
    <w:p>
      <w:pPr>
        <w:pStyle w:val="BodyText"/>
      </w:pPr>
      <w:r>
        <w:rPr>
          <w:b/>
        </w:rPr>
        <w:t xml:space="preserve">Figure 2</w:t>
      </w:r>
      <w:r>
        <w:t xml:space="preserve"> </w:t>
      </w:r>
      <w:r>
        <w:t xml:space="preserve">shows the indices’ sensitivity to noise. Unlike the patterns of sensitivity to sample size, the indices display more similar patterns in their sensitivity to noise (or magnitude of effect). All indices are unidirectionally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w:t>
      </w:r>
      <w:r>
        <w:t xml:space="preserve"> </w:t>
      </w:r>
      <w:r>
        <w:t xml:space="preserve">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 consistent across model types.</w:t>
      </w:r>
    </w:p>
    <w:p>
      <w:pPr>
        <w:pStyle w:val="TableCaption"/>
      </w:pPr>
      <w:r>
        <w:rPr>
          <w:b/>
        </w:rPr>
        <w:t xml:space="preserve">Table 2</w:t>
      </w:r>
      <w: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2</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4960"/>
            <wp:effectExtent b="0" l="0" r="0" t="0"/>
            <wp:docPr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itle="" id="1" name="Picture"/>
            <a:graphic>
              <a:graphicData uri="http://schemas.openxmlformats.org/drawingml/2006/picture">
                <pic:pic>
                  <pic:nvPicPr>
                    <pic:cNvPr descr="figures/Figure3.png" id="0" name="Picture"/>
                    <pic:cNvPicPr>
                      <a:picLocks noChangeArrowheads="1" noChangeAspect="1"/>
                    </pic:cNvPicPr>
                  </pic:nvPicPr>
                  <pic:blipFill>
                    <a:blip r:embed="rId40"/>
                    <a:stretch>
                      <a:fillRect/>
                    </a:stretch>
                  </pic:blipFill>
                  <pic:spPr bwMode="auto">
                    <a:xfrm>
                      <a:off x="0" y="0"/>
                      <a:ext cx="6197600" cy="8764960"/>
                    </a:xfrm>
                    <a:prstGeom prst="rect">
                      <a:avLst/>
                    </a:prstGeom>
                    <a:noFill/>
                    <a:ln w="9525">
                      <a:noFill/>
                      <a:headEnd/>
                      <a:tailEnd/>
                    </a:ln>
                  </pic:spPr>
                </pic:pic>
              </a:graphicData>
            </a:graphic>
          </wp:inline>
        </w:drawing>
      </w:r>
    </w:p>
    <w:p>
      <w:pPr>
        <w:pStyle w:val="ImageCaption"/>
      </w:pPr>
      <w:r>
        <w:rPr>
          <w:b/>
        </w:rPr>
        <w:t xml:space="preserve">Figure 3</w:t>
      </w:r>
      <w:r>
        <w:t xml:space="preserve">. Relationship with the frequentist</w:t>
      </w:r>
      <w:r>
        <w:t xml:space="preserve"> </w:t>
      </w:r>
      <w:r>
        <w:rPr>
          <w:i/>
        </w:rPr>
        <w:t xml:space="preserve">p</w:t>
      </w:r>
      <w:r>
        <w:t xml:space="preserve">-value.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w:t>
      </w:r>
    </w:p>
    <w:p>
      <w:pPr>
        <w:pStyle w:val="BodyText"/>
      </w:pPr>
      <w:r>
        <w:rPr>
          <w:b/>
        </w:rPr>
        <w:t xml:space="preserve">Figure 3</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3371"/>
            <wp:effectExtent b="0" l="0" r="0" t="0"/>
            <wp:docPr descr="Figure 4. The probability of reaching different p-value based significance thresholds (.1, .05, .01, .001) for different values of the corresponding Bayesian indices." title="" id="1" name="Picture"/>
            <a:graphic>
              <a:graphicData uri="http://schemas.openxmlformats.org/drawingml/2006/picture">
                <pic:pic>
                  <pic:nvPicPr>
                    <pic:cNvPr descr="figures/Figure4.png" id="0" name="Picture"/>
                    <pic:cNvPicPr>
                      <a:picLocks noChangeArrowheads="1" noChangeAspect="1"/>
                    </pic:cNvPicPr>
                  </pic:nvPicPr>
                  <pic:blipFill>
                    <a:blip r:embed="rId41"/>
                    <a:stretch>
                      <a:fillRect/>
                    </a:stretch>
                  </pic:blipFill>
                  <pic:spPr bwMode="auto">
                    <a:xfrm>
                      <a:off x="0" y="0"/>
                      <a:ext cx="6197600" cy="4383371"/>
                    </a:xfrm>
                    <a:prstGeom prst="rect">
                      <a:avLst/>
                    </a:prstGeom>
                    <a:noFill/>
                    <a:ln w="9525">
                      <a:noFill/>
                      <a:headEnd/>
                      <a:tailEnd/>
                    </a:ln>
                  </pic:spPr>
                </pic:pic>
              </a:graphicData>
            </a:graphic>
          </wp:inline>
        </w:drawing>
      </w:r>
    </w:p>
    <w:p>
      <w:pPr>
        <w:pStyle w:val="ImageCaption"/>
      </w:pPr>
      <w:r>
        <w:rPr>
          <w:b/>
        </w:rPr>
        <w:t xml:space="preserve">Figure 4</w:t>
      </w:r>
      <w:r>
        <w:t xml:space="preserve">. The probability of reaching different</w:t>
      </w:r>
      <w:r>
        <w:t xml:space="preserve"> </w:t>
      </w:r>
      <w:r>
        <w:rPr>
          <w:i/>
        </w:rPr>
        <w:t xml:space="preserve">p</w:t>
      </w:r>
      <w:r>
        <w:t xml:space="preserve">-value based significance thresholds (.1, .05, .01, .001) for different values of the corresponding Bayesian indices.</w:t>
      </w:r>
    </w:p>
    <w:p>
      <w:pPr>
        <w:pStyle w:val="BodyText"/>
      </w:pPr>
      <w:r>
        <w:rPr>
          <w:b/>
        </w:rPr>
        <w:t xml:space="preserve">Figure 4</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w:t>
      </w:r>
      <w:r>
        <w:t xml:space="preserve">-direction 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5. Relationship between three Bayesian indices: the Probability of Direction (pd), the percentage of the full posterior distribution in the ROPE, and the Bayes factor (vs. ROPE)." title="" id="1" name="Picture"/>
            <a:graphic>
              <a:graphicData uri="http://schemas.openxmlformats.org/drawingml/2006/picture">
                <pic:pic>
                  <pic:nvPicPr>
                    <pic:cNvPr descr="figures/Figure5.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rPr>
          <w:b/>
        </w:rPr>
        <w:t xml:space="preserve">Figure 5</w:t>
      </w:r>
      <w:r>
        <w:t xml:space="preserve">. Relationship between three Bayesian indices: the Probability of Direction (</w:t>
      </w:r>
      <w:r>
        <w:rPr>
          <w:i/>
        </w:rPr>
        <w:t xml:space="preserve">pd</w:t>
      </w:r>
      <w:r>
        <w:t xml:space="preserve">), the percentage of the full posterior distribution in the ROPE, and the Bayes factor (</w:t>
      </w:r>
      <w:r>
        <w:rPr>
          <w:i/>
        </w:rPr>
        <w:t xml:space="preserve">vs.</w:t>
      </w:r>
      <w:r>
        <w:t xml:space="preserve"> </w:t>
      </w:r>
      <w:r>
        <w:t xml:space="preserve">ROPE).</w:t>
      </w:r>
    </w:p>
    <w:p>
      <w:pPr>
        <w:pStyle w:val="BodyText"/>
      </w:pPr>
      <w:r>
        <w:rPr>
          <w:b/>
        </w:rPr>
        <w:t xml:space="preserve">Figure 5</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two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 that the effect exists, but a low value indicates</w:t>
      </w:r>
      <w:r>
        <w:t xml:space="preserve"> </w:t>
      </w:r>
      <w:r>
        <w:rPr>
          <w:i/>
        </w:rPr>
        <w:t xml:space="preserve">uncertainty</w:t>
      </w:r>
      <w:r>
        <w:t xml:space="preserve"> </w:t>
      </w:r>
      <w:r>
        <w:t xml:space="preserve">about its existence (but not certainty that it is non-existing). The second group, including ROPE and Bayes factors, seem sensitive both to presence and absence of effect, accumulating evidence as the sample size increases. However, the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ROPE indices are more closely related to the</w:t>
      </w:r>
      <w:r>
        <w:t xml:space="preserve"> </w:t>
      </w:r>
      <w:r>
        <w:rPr>
          <w:i/>
        </w:rPr>
        <w:t xml:space="preserve">p</w:t>
      </w:r>
      <w:r>
        <w:t xml:space="preserve">-value, as their relationship appears dependent on another factor, the sample size. This suggests that the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w:t>
      </w:r>
      <w:r>
        <w:t xml:space="preserve"> </w:t>
      </w:r>
      <w:r>
        <w:t xml:space="preserve">‘</w:t>
      </w:r>
      <w:r>
        <w:t xml:space="preserve">p-hacking</w:t>
      </w:r>
      <w:r>
        <w:t xml:space="preserve">’</w:t>
      </w:r>
      <w:r>
        <w:t xml:space="preserve"> </w:t>
      </w:r>
      <w:r>
        <w:t xml:space="preserve">is necessary, and that Bayesian indices are fundamentally different from the frequentist</w:t>
      </w:r>
      <w:r>
        <w:t xml:space="preserve"> </w:t>
      </w:r>
      <w:r>
        <w:rPr>
          <w:i/>
        </w:rPr>
        <w:t xml:space="preserve">p</w:t>
      </w:r>
      <w:r>
        <w:t xml:space="preserve">-value, rather than mere approximations or equivalents.</w:t>
      </w:r>
    </w:p>
    <w:p>
      <w:pPr>
        <w:pStyle w:val="TableCaption"/>
      </w:pPr>
      <w:r>
        <w:rPr>
          <w:b/>
        </w:rPr>
        <w:t xml:space="preserve">Table 3</w:t>
      </w:r>
      <w:r>
        <w:t xml:space="preserve">.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 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2016)</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(and have a rationale for) informative priors</w:t>
      </w:r>
      <w:r>
        <w:t xml:space="preserve"> </w:t>
      </w:r>
      <w:r>
        <w:t xml:space="preserve">(often called “subjective” priors; Wagenmakers, 2007)</w:t>
      </w:r>
      <w:r>
        <w:t xml:space="preserve">. In the end, there is a relative proximity between Bayes factors (</w:t>
      </w:r>
      <w:r>
        <w:rPr>
          <w:i/>
        </w:rPr>
        <w:t xml:space="preserve">vs.</w:t>
      </w:r>
      <w:r>
        <w:t xml:space="preserve"> </w:t>
      </w:r>
      <w:r>
        <w:t xml:space="preserve">ROPE) and the percentage in ROPE (full), consistently with their mathematical relationship.</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of the effect and is not able to give information</w:t>
      </w:r>
      <w:r>
        <w:t xml:space="preserve"> </w:t>
      </w:r>
      <w:r>
        <w:rPr>
          <w:i/>
        </w:rPr>
        <w:t xml:space="preserve">in favor</w:t>
      </w:r>
      <w:r>
        <w:t xml:space="preserve"> </w:t>
      </w:r>
      <w:r>
        <w:t xml:space="preserve">of the null hypothesis.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 reject the null hypothesis (which is consistent with the interpretation of the frequentist</w:t>
      </w:r>
      <w:r>
        <w:t xml:space="preserve"> </w:t>
      </w:r>
      <w:r>
        <w:rPr>
          <w:i/>
        </w:rPr>
        <w:t xml:space="preserve">p</w:t>
      </w:r>
      <w:r>
        <w:t xml:space="preserve">-value). On the contrary, the BFs (and to some extent the percentage in ROPE) increase or decrease as the evidence becomes stronger (more data points), in both directions.</w:t>
      </w:r>
    </w:p>
    <w:p>
      <w:pPr>
        <w:pStyle w:val="BodyText"/>
      </w:pPr>
      <w:r>
        <w:t xml:space="preserve">Much of the strengths of the</w:t>
      </w:r>
      <w:r>
        <w:t xml:space="preserve"> </w:t>
      </w:r>
      <w:r>
        <w:rPr>
          <w:i/>
        </w:rPr>
        <w:t xml:space="preserve">pd</w:t>
      </w:r>
      <w:r>
        <w:t xml:space="preserve"> </w:t>
      </w:r>
      <w:r>
        <w:t xml:space="preserve">also apply to the MAP-based</w:t>
      </w:r>
      <w:r>
        <w:t xml:space="preserve"> </w:t>
      </w:r>
      <w:r>
        <w:rPr>
          <w:i/>
        </w:rPr>
        <w:t xml:space="preserve">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The</w:t>
      </w:r>
      <w:r>
        <w:t xml:space="preserve"> </w:t>
      </w:r>
      <w:r>
        <w:rPr>
          <w:i/>
        </w:rPr>
        <w:t xml:space="preserve">pd</w:t>
      </w:r>
      <w:r>
        <w:t xml:space="preserve">, however, 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contradictory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(as in “worth of interest”; Cohen, 2016)</w:t>
      </w:r>
      <w:r>
        <w:t xml:space="preserve">. Addressing this confusion, the Bayesian equivalent has an intuitive meaning and interpretation, contributing to making more obvious the fact that all thresholds and heuristics are arbitrary. In summary,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BodyText"/>
      </w:pPr>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convereg (or diverge), for larger samples.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Heading1"/>
      </w:pPr>
      <w:bookmarkStart w:id="45" w:name="reporting-guidelines"/>
      <w:r>
        <w:t xml:space="preserve">Reporting Guidelines</w:t>
      </w:r>
      <w:bookmarkEnd w:id="45"/>
    </w:p>
    <w:p>
      <w:pPr>
        <w:pStyle w:val="FirstParagraph"/>
      </w:pPr>
      <w:r>
        <w:t xml:space="preserve">How can the current observations be used to improve statistical good practices in psychological science?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Haaf, &amp; Vandekerckhove, 2018)</w:t>
      </w:r>
      <w:r>
        <w:t xml:space="preserve">. On the other hand, in cases where informed priors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w:t>
      </w:r>
      <w:r>
        <w:t xml:space="preserve">and 3, 10 and 30 (weak evidence) appropriate for the BF.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(BF</w:t>
      </w:r>
      <w:r>
        <w:t xml:space="preserve">ROPE</w:t>
      </w:r>
      <w:r>
        <w:t xml:space="preserve"> </w:t>
      </w:r>
      <w:r>
        <w:t xml:space="preserve">= 3.44) [</w:t>
      </w:r>
      <w:r>
        <w:rPr>
          <w:i/>
        </w:rPr>
        <w:t xml:space="preserve">BF (vs. ROPE)</w:t>
      </w:r>
      <w:r>
        <w:t xml:space="preserve">] in favor of the presence of effect of X, which has a probability of 98.14% [</w:t>
      </w:r>
      <w:r>
        <w:rPr>
          <w:i/>
        </w:rPr>
        <w:t xml:space="preserve">pd</w:t>
      </w:r>
      <w:r>
        <w:t xml:space="preserve">] of being negative (Median = -5.04, 89% CI [-8.31., 0.12]), and can be considered as small (Std. Median = -0.29) [</w:t>
      </w:r>
      <w:r>
        <w:rPr>
          <w:i/>
        </w:rPr>
        <w:t xml:space="preserve">standardized coefficient</w:t>
      </w:r>
      <w:r>
        <w:t xml:space="preserve">]</w:t>
      </w:r>
      <w:r>
        <w:t xml:space="preserve">”</w:t>
      </w:r>
    </w:p>
    <w:p>
      <w:pPr>
        <w:pStyle w:val="BodyText"/>
      </w:pPr>
      <w:r>
        <w:t xml:space="preserve">And if the user decides to use the percentage in ROPE instead of the</w:t>
      </w:r>
      <w:r>
        <w:t xml:space="preserve"> </w:t>
      </w:r>
      <w:r>
        <w:rPr>
          <w:i/>
        </w:rPr>
        <w:t xml:space="preserve">BF</w:t>
      </w:r>
      <w:r>
        <w:t xml:space="preserve">:</w:t>
      </w:r>
    </w:p>
    <w:p>
      <w:pPr>
        <w:pStyle w:val="BodyText"/>
      </w:pPr>
      <w:r>
        <w:t xml:space="preserve">“</w:t>
      </w:r>
      <w:r>
        <w:t xml:space="preserve">The effect of X has a probability of 98.14% [</w:t>
      </w:r>
      <w:r>
        <w:rPr>
          <w:i/>
        </w:rPr>
        <w:t xml:space="preserve">pd</w:t>
      </w:r>
      <w:r>
        <w:t xml:space="preserve">] of being negative (Median = -5.04, 89% CI [-8.31, 0.12]), and can be considered as small (Std. Median = -0.29) [</w:t>
      </w:r>
      <w:r>
        <w:rPr>
          <w:i/>
        </w:rPr>
        <w:t xml:space="preserve">standardized coefficient</w:t>
      </w:r>
      <w:r>
        <w:t xml:space="preserve">] and significant (0.82% in ROPE) [</w:t>
      </w:r>
      <w:r>
        <w:rPr>
          <w:i/>
        </w:rPr>
        <w:t xml:space="preserve">ROPE (full)</w:t>
      </w:r>
      <w:r>
        <w:t xml:space="preserve">]</w:t>
      </w:r>
      <w:r>
        <w:t xml:space="preserve">”</w:t>
      </w:r>
    </w:p>
    <w:p>
      <w:pPr>
        <w:pStyle w:val="Heading1"/>
      </w:pPr>
      <w:bookmarkStart w:id="46" w:name="supplementary-materials"/>
      <w:r>
        <w:t xml:space="preserve">Supplementary Materials</w:t>
      </w:r>
      <w:bookmarkEnd w:id="46"/>
    </w:p>
    <w:p>
      <w:pPr>
        <w:pStyle w:val="FirstParagraph"/>
      </w:pPr>
      <w:r>
        <w:t xml:space="preserve">In the spirit of open and honest science, 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acknowledgments"/>
      <w:r>
        <w:t xml:space="preserve">Acknowledgments</w:t>
      </w:r>
      <w:bookmarkEnd w:id="48"/>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49" w:name="references"/>
      <w:r>
        <w:t xml:space="preserve">References</w:t>
      </w:r>
      <w:bookmarkEnd w:id="49"/>
    </w:p>
    <w:bookmarkStart w:id="119" w:name="refs"/>
    <w:bookmarkStart w:id="51"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0">
        <w:r>
          <w:rPr>
            <w:rStyle w:val="Hyperlink"/>
          </w:rPr>
          <w:t xml:space="preserve">https://doi.org/10.1038/d41586-019-00857-9</w:t>
        </w:r>
      </w:hyperlink>
    </w:p>
    <w:bookmarkEnd w:id="51"/>
    <w:bookmarkStart w:id="52"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2"/>
    <w:bookmarkStart w:id="53"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3"/>
    <w:bookmarkStart w:id="54"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4"/>
    <w:bookmarkStart w:id="56"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5">
        <w:r>
          <w:rPr>
            <w:rStyle w:val="Hyperlink"/>
          </w:rPr>
          <w:t xml:space="preserve">https://doi.org/10.18637/jss.v076.i01</w:t>
        </w:r>
      </w:hyperlink>
    </w:p>
    <w:bookmarkEnd w:id="56"/>
    <w:bookmarkStart w:id="57"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57"/>
    <w:bookmarkStart w:id="58" w:name="ref-cohen1988statistical"/>
    <w:p>
      <w:pPr>
        <w:pStyle w:val="Bibliography"/>
      </w:pPr>
      <w:r>
        <w:t xml:space="preserve">Cohen, J. (1988).</w:t>
      </w:r>
      <w:r>
        <w:t xml:space="preserve"> </w:t>
      </w:r>
      <w:r>
        <w:rPr>
          <w:i/>
        </w:rPr>
        <w:t xml:space="preserve">Statistical power analysis for the social sciences</w:t>
      </w:r>
      <w:r>
        <w:t xml:space="preserve">.</w:t>
      </w:r>
    </w:p>
    <w:bookmarkEnd w:id="58"/>
    <w:bookmarkStart w:id="59"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59"/>
    <w:bookmarkStart w:id="60"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0"/>
    <w:bookmarkStart w:id="61"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1"/>
    <w:bookmarkStart w:id="62"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2"/>
    <w:bookmarkStart w:id="63"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3"/>
    <w:bookmarkStart w:id="64"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4"/>
    <w:bookmarkStart w:id="65"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5"/>
    <w:bookmarkStart w:id="66"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66"/>
    <w:bookmarkStart w:id="67"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67"/>
    <w:bookmarkStart w:id="68"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68"/>
    <w:bookmarkStart w:id="70"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69">
        <w:r>
          <w:rPr>
            <w:rStyle w:val="Hyperlink"/>
          </w:rPr>
          <w:t xml:space="preserve">https://doi.org/10.1177/0146167217729162</w:t>
        </w:r>
      </w:hyperlink>
    </w:p>
    <w:bookmarkEnd w:id="70"/>
    <w:bookmarkStart w:id="71"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1"/>
    <w:bookmarkStart w:id="73"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2">
        <w:r>
          <w:rPr>
            <w:rStyle w:val="Hyperlink"/>
          </w:rPr>
          <w:t xml:space="preserve">http://mc-stan.org/</w:t>
        </w:r>
      </w:hyperlink>
    </w:p>
    <w:bookmarkEnd w:id="73"/>
    <w:bookmarkStart w:id="74"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4"/>
    <w:bookmarkStart w:id="75"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5"/>
    <w:bookmarkStart w:id="76"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76"/>
    <w:bookmarkStart w:id="77" w:name="ref-jeffreys1998theory"/>
    <w:p>
      <w:pPr>
        <w:pStyle w:val="Bibliography"/>
      </w:pPr>
      <w:r>
        <w:t xml:space="preserve">Jeffreys, H. (1998).</w:t>
      </w:r>
      <w:r>
        <w:t xml:space="preserve"> </w:t>
      </w:r>
      <w:r>
        <w:rPr>
          <w:i/>
        </w:rPr>
        <w:t xml:space="preserve">The theory of probability</w:t>
      </w:r>
      <w:r>
        <w:t xml:space="preserve">. OUP Oxford.</w:t>
      </w:r>
    </w:p>
    <w:bookmarkEnd w:id="77"/>
    <w:bookmarkStart w:id="78"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78"/>
    <w:bookmarkStart w:id="79"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79"/>
    <w:bookmarkStart w:id="80"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0"/>
    <w:bookmarkStart w:id="81"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1"/>
    <w:bookmarkStart w:id="82"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2"/>
    <w:bookmarkStart w:id="83"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3"/>
    <w:bookmarkStart w:id="84"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4"/>
    <w:bookmarkStart w:id="85"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5"/>
    <w:bookmarkStart w:id="86"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86"/>
    <w:bookmarkStart w:id="88"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87">
        <w:r>
          <w:rPr>
            <w:rStyle w:val="Hyperlink"/>
          </w:rPr>
          <w:t xml:space="preserve">https://doi.org/10.21105/joss.01412</w:t>
        </w:r>
      </w:hyperlink>
    </w:p>
    <w:bookmarkEnd w:id="88"/>
    <w:bookmarkStart w:id="89"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89"/>
    <w:bookmarkStart w:id="91"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0">
        <w:r>
          <w:rPr>
            <w:rStyle w:val="Hyperlink"/>
          </w:rPr>
          <w:t xml:space="preserve">https://doi.org/10.21105/joss.01541</w:t>
        </w:r>
      </w:hyperlink>
    </w:p>
    <w:bookmarkEnd w:id="91"/>
    <w:bookmarkStart w:id="92"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2"/>
    <w:bookmarkStart w:id="93"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3"/>
    <w:bookmarkStart w:id="94"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94"/>
    <w:bookmarkStart w:id="95"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95"/>
    <w:bookmarkStart w:id="96"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96"/>
    <w:bookmarkStart w:id="98"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97">
        <w:r>
          <w:rPr>
            <w:rStyle w:val="Hyperlink"/>
          </w:rPr>
          <w:t xml:space="preserve">https://www.R-project.org/</w:t>
        </w:r>
      </w:hyperlink>
    </w:p>
    <w:bookmarkEnd w:id="98"/>
    <w:bookmarkStart w:id="99"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99"/>
    <w:bookmarkStart w:id="100"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0"/>
    <w:bookmarkStart w:id="101"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1"/>
    <w:bookmarkStart w:id="102"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2"/>
    <w:bookmarkStart w:id="103"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3"/>
    <w:bookmarkStart w:id="105"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4">
        <w:r>
          <w:rPr>
            <w:rStyle w:val="Hyperlink"/>
          </w:rPr>
          <w:t xml:space="preserve">https://doi.org/10.1177/0956797611417632</w:t>
        </w:r>
      </w:hyperlink>
    </w:p>
    <w:bookmarkEnd w:id="105"/>
    <w:bookmarkStart w:id="106"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06"/>
    <w:bookmarkStart w:id="107"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07"/>
    <w:bookmarkStart w:id="108"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08"/>
    <w:bookmarkStart w:id="109"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09"/>
    <w:bookmarkStart w:id="110"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0"/>
    <w:bookmarkStart w:id="111"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1"/>
    <w:bookmarkStart w:id="113" w:name="ref-wagenmakers2015another"/>
    <w:p>
      <w:pPr>
        <w:pStyle w:val="Bibliography"/>
      </w:pPr>
      <w:r>
        <w:t xml:space="preserve">Wagenmakers, E.-J., Lee, M., Rouder, J., &amp; Morey, R. (2019, August). Another statistical paradox. Retrieved from</w:t>
      </w:r>
      <w:r>
        <w:t xml:space="preserve"> </w:t>
      </w:r>
      <w:hyperlink r:id="rId112">
        <w:r>
          <w:rPr>
            <w:rStyle w:val="Hyperlink"/>
          </w:rPr>
          <w:t xml:space="preserve">http://www.ejwagenmakers.com/submitted/AnotherStatisticalParadox.pdf</w:t>
        </w:r>
      </w:hyperlink>
    </w:p>
    <w:bookmarkEnd w:id="113"/>
    <w:bookmarkStart w:id="114"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14"/>
    <w:bookmarkStart w:id="115"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15"/>
    <w:bookmarkStart w:id="116"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16"/>
    <w:bookmarkStart w:id="117"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17"/>
    <w:bookmarkStart w:id="118"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18"/>
    <w:bookmarkEnd w:id="119"/>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9</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2019-08-19T07:27:08Z</dcterms:created>
  <dcterms:modified xsi:type="dcterms:W3CDTF">2019-08-19T07:27:08Z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